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8"/>
          <w:szCs w:val="48"/>
          <w:lang w:val="en-US" w:eastAsia="zh-CN"/>
        </w:rPr>
      </w:pPr>
    </w:p>
    <w:p>
      <w:pPr>
        <w:jc w:val="center"/>
        <w:rPr>
          <w:rFonts w:ascii="黑体" w:hAnsi="黑体" w:eastAsia="黑体" w:cs="黑体"/>
          <w:sz w:val="48"/>
          <w:szCs w:val="48"/>
        </w:rPr>
      </w:pPr>
      <w:r>
        <w:rPr>
          <w:rFonts w:hint="eastAsia" w:ascii="黑体" w:hAnsi="黑体" w:eastAsia="黑体" w:cs="黑体"/>
          <w:sz w:val="48"/>
          <w:szCs w:val="48"/>
        </w:rPr>
        <w:t>永和县工商联</w:t>
      </w:r>
    </w:p>
    <w:p>
      <w:pPr>
        <w:jc w:val="center"/>
        <w:rPr>
          <w:rFonts w:ascii="黑体" w:hAnsi="黑体" w:eastAsia="黑体" w:cs="黑体"/>
          <w:sz w:val="48"/>
          <w:szCs w:val="48"/>
        </w:rPr>
      </w:pPr>
      <w:r>
        <w:rPr>
          <w:rFonts w:hint="eastAsia" w:ascii="黑体" w:hAnsi="黑体" w:eastAsia="黑体" w:cs="黑体"/>
          <w:sz w:val="48"/>
          <w:szCs w:val="48"/>
        </w:rPr>
        <w:t>201</w:t>
      </w:r>
      <w:r>
        <w:rPr>
          <w:rFonts w:hint="eastAsia" w:ascii="黑体" w:hAnsi="黑体" w:eastAsia="黑体" w:cs="黑体"/>
          <w:sz w:val="48"/>
          <w:szCs w:val="48"/>
          <w:lang w:val="en-US" w:eastAsia="zh-CN"/>
        </w:rPr>
        <w:t>8</w:t>
      </w:r>
      <w:r>
        <w:rPr>
          <w:rFonts w:hint="eastAsia" w:ascii="黑体" w:hAnsi="黑体" w:eastAsia="黑体" w:cs="黑体"/>
          <w:sz w:val="48"/>
          <w:szCs w:val="48"/>
        </w:rPr>
        <w:t>年度部门预算情况说明</w:t>
      </w:r>
    </w:p>
    <w:p>
      <w:pPr>
        <w:jc w:val="center"/>
        <w:rPr>
          <w:rFonts w:ascii="黑体" w:hAnsi="黑体" w:eastAsia="黑体" w:cs="黑体"/>
          <w:sz w:val="48"/>
          <w:szCs w:val="48"/>
        </w:rPr>
      </w:pPr>
    </w:p>
    <w:p>
      <w:pPr>
        <w:jc w:val="center"/>
        <w:rPr>
          <w:rFonts w:asciiTheme="minorEastAsia" w:hAnsiTheme="minorEastAsia" w:cstheme="minorEastAsia"/>
          <w:sz w:val="32"/>
          <w:szCs w:val="32"/>
        </w:rPr>
      </w:pPr>
      <w:r>
        <w:rPr>
          <w:rFonts w:hint="eastAsia" w:asciiTheme="minorEastAsia" w:hAnsiTheme="minorEastAsia" w:cstheme="minorEastAsia"/>
          <w:sz w:val="32"/>
          <w:szCs w:val="32"/>
        </w:rPr>
        <w:t>第一部分 主要概况</w:t>
      </w:r>
    </w:p>
    <w:p>
      <w:pPr>
        <w:rPr>
          <w:rFonts w:asciiTheme="minorEastAsia" w:hAnsiTheme="minorEastAsia" w:cstheme="minorEastAsia"/>
          <w:sz w:val="32"/>
          <w:szCs w:val="32"/>
        </w:rPr>
      </w:pPr>
      <w:r>
        <w:rPr>
          <w:rFonts w:hint="eastAsia" w:asciiTheme="minorEastAsia" w:hAnsiTheme="minorEastAsia" w:cstheme="minorEastAsia"/>
          <w:sz w:val="32"/>
          <w:szCs w:val="32"/>
        </w:rPr>
        <w:t xml:space="preserve">    1、主要职能职责：参与全县政治、经济和社会生活中的重要问题的政治协商，发挥民主监督作用，积极参政议政。</w:t>
      </w:r>
    </w:p>
    <w:p>
      <w:pPr>
        <w:ind w:firstLine="640"/>
        <w:rPr>
          <w:rFonts w:asciiTheme="minorEastAsia" w:hAnsiTheme="minorEastAsia" w:cstheme="minorEastAsia"/>
          <w:sz w:val="32"/>
          <w:szCs w:val="32"/>
        </w:rPr>
      </w:pPr>
      <w:r>
        <w:rPr>
          <w:rFonts w:hint="eastAsia" w:asciiTheme="minorEastAsia" w:hAnsiTheme="minorEastAsia" w:cstheme="minorEastAsia"/>
          <w:sz w:val="32"/>
          <w:szCs w:val="32"/>
        </w:rPr>
        <w:t>2、部门预算单位构成：编制4人，实有人数4人，为全额预算人员。</w:t>
      </w:r>
    </w:p>
    <w:p>
      <w:pPr>
        <w:jc w:val="center"/>
        <w:rPr>
          <w:rFonts w:asciiTheme="minorEastAsia" w:hAnsiTheme="minorEastAsia" w:cstheme="minorEastAsia"/>
          <w:sz w:val="32"/>
          <w:szCs w:val="32"/>
        </w:rPr>
      </w:pPr>
      <w:r>
        <w:rPr>
          <w:rFonts w:hint="eastAsia" w:asciiTheme="minorEastAsia" w:hAnsiTheme="minorEastAsia" w:cstheme="minorEastAsia"/>
          <w:sz w:val="32"/>
          <w:szCs w:val="32"/>
        </w:rPr>
        <w:t>第二部分  201</w:t>
      </w:r>
      <w:r>
        <w:rPr>
          <w:rFonts w:hint="eastAsia" w:asciiTheme="minorEastAsia" w:hAnsiTheme="minorEastAsia" w:cstheme="minorEastAsia"/>
          <w:sz w:val="32"/>
          <w:szCs w:val="32"/>
          <w:lang w:val="en-US" w:eastAsia="zh-CN"/>
        </w:rPr>
        <w:t>8</w:t>
      </w:r>
      <w:r>
        <w:rPr>
          <w:rFonts w:hint="eastAsia" w:asciiTheme="minorEastAsia" w:hAnsiTheme="minorEastAsia" w:cstheme="minorEastAsia"/>
          <w:sz w:val="32"/>
          <w:szCs w:val="32"/>
        </w:rPr>
        <w:t>年度部门预算报表</w:t>
      </w:r>
    </w:p>
    <w:p>
      <w:pPr>
        <w:rPr>
          <w:rFonts w:asciiTheme="minorEastAsia" w:hAnsiTheme="minorEastAsia" w:cstheme="minorEastAsia"/>
          <w:sz w:val="32"/>
          <w:szCs w:val="32"/>
        </w:rPr>
      </w:pPr>
      <w:r>
        <w:rPr>
          <w:rFonts w:hint="eastAsia" w:asciiTheme="minorEastAsia" w:hAnsiTheme="minorEastAsia" w:cstheme="minorEastAsia"/>
          <w:sz w:val="32"/>
          <w:szCs w:val="32"/>
        </w:rPr>
        <w:t>本部分内容见附表</w:t>
      </w:r>
    </w:p>
    <w:p>
      <w:pPr>
        <w:jc w:val="center"/>
        <w:rPr>
          <w:rFonts w:asciiTheme="minorEastAsia" w:hAnsiTheme="minorEastAsia" w:cstheme="minorEastAsia"/>
          <w:sz w:val="32"/>
          <w:szCs w:val="32"/>
        </w:rPr>
      </w:pPr>
      <w:r>
        <w:rPr>
          <w:rFonts w:hint="eastAsia" w:asciiTheme="minorEastAsia" w:hAnsiTheme="minorEastAsia" w:cstheme="minorEastAsia"/>
          <w:sz w:val="32"/>
          <w:szCs w:val="32"/>
        </w:rPr>
        <w:t>第三部分  201</w:t>
      </w:r>
      <w:r>
        <w:rPr>
          <w:rFonts w:hint="eastAsia" w:asciiTheme="minorEastAsia" w:hAnsiTheme="minorEastAsia" w:cstheme="minorEastAsia"/>
          <w:sz w:val="32"/>
          <w:szCs w:val="32"/>
          <w:lang w:val="en-US" w:eastAsia="zh-CN"/>
        </w:rPr>
        <w:t>8</w:t>
      </w:r>
      <w:r>
        <w:rPr>
          <w:rFonts w:hint="eastAsia" w:asciiTheme="minorEastAsia" w:hAnsiTheme="minorEastAsia" w:cstheme="minorEastAsia"/>
          <w:sz w:val="32"/>
          <w:szCs w:val="32"/>
        </w:rPr>
        <w:t>年度部门预算情况说明</w:t>
      </w:r>
    </w:p>
    <w:p>
      <w:pPr>
        <w:ind w:firstLine="640"/>
        <w:rPr>
          <w:rFonts w:hint="eastAsia" w:asciiTheme="minorEastAsia" w:hAnsiTheme="minorEastAsia" w:cstheme="minorEastAsia"/>
          <w:sz w:val="32"/>
          <w:szCs w:val="32"/>
          <w:lang w:eastAsia="zh-CN"/>
        </w:rPr>
      </w:pPr>
      <w:r>
        <w:rPr>
          <w:rFonts w:hint="eastAsia" w:asciiTheme="minorEastAsia" w:hAnsiTheme="minorEastAsia" w:cstheme="minorEastAsia"/>
          <w:sz w:val="32"/>
          <w:szCs w:val="32"/>
        </w:rPr>
        <w:t>1、 201</w:t>
      </w:r>
      <w:r>
        <w:rPr>
          <w:rFonts w:hint="eastAsia" w:asciiTheme="minorEastAsia" w:hAnsiTheme="minorEastAsia" w:cstheme="minorEastAsia"/>
          <w:sz w:val="32"/>
          <w:szCs w:val="32"/>
          <w:lang w:val="en-US" w:eastAsia="zh-CN"/>
        </w:rPr>
        <w:t>8</w:t>
      </w:r>
      <w:r>
        <w:rPr>
          <w:rFonts w:hint="eastAsia" w:asciiTheme="minorEastAsia" w:hAnsiTheme="minorEastAsia" w:cstheme="minorEastAsia"/>
          <w:sz w:val="32"/>
          <w:szCs w:val="32"/>
        </w:rPr>
        <w:t>年度部门预算</w:t>
      </w:r>
      <w:r>
        <w:rPr>
          <w:rFonts w:hint="eastAsia" w:asciiTheme="minorEastAsia" w:hAnsiTheme="minorEastAsia" w:cstheme="minorEastAsia"/>
          <w:sz w:val="32"/>
          <w:szCs w:val="32"/>
          <w:lang w:eastAsia="zh-CN"/>
        </w:rPr>
        <w:t>数据变动情况及原因</w:t>
      </w:r>
    </w:p>
    <w:p>
      <w:pPr>
        <w:ind w:firstLine="640"/>
        <w:rPr>
          <w:rFonts w:hint="eastAsia" w:asciiTheme="minorEastAsia" w:hAnsiTheme="minorEastAsia" w:cstheme="minorEastAsia"/>
          <w:sz w:val="32"/>
          <w:szCs w:val="32"/>
          <w:lang w:val="en-US" w:eastAsia="zh-CN"/>
        </w:rPr>
      </w:pPr>
      <w:r>
        <w:rPr>
          <w:rFonts w:hint="eastAsia" w:asciiTheme="minorEastAsia" w:hAnsiTheme="minorEastAsia" w:cstheme="minorEastAsia"/>
          <w:sz w:val="32"/>
          <w:szCs w:val="32"/>
          <w:lang w:val="en-US" w:eastAsia="zh-CN"/>
        </w:rPr>
        <w:t>2018年部门财政拨款预算711401.3元，比2017年增加20余万元，增长原因为项目支出增加。</w:t>
      </w:r>
    </w:p>
    <w:p>
      <w:pPr>
        <w:numPr>
          <w:ilvl w:val="0"/>
          <w:numId w:val="1"/>
        </w:numPr>
        <w:ind w:firstLine="640"/>
        <w:rPr>
          <w:rFonts w:asciiTheme="minorEastAsia" w:hAnsiTheme="minorEastAsia" w:cstheme="minorEastAsia"/>
          <w:sz w:val="32"/>
          <w:szCs w:val="32"/>
        </w:rPr>
      </w:pPr>
      <w:r>
        <w:rPr>
          <w:rFonts w:hint="eastAsia" w:asciiTheme="minorEastAsia" w:hAnsiTheme="minorEastAsia" w:cstheme="minorEastAsia"/>
          <w:sz w:val="32"/>
          <w:szCs w:val="32"/>
        </w:rPr>
        <w:t>“三公”经费</w:t>
      </w:r>
      <w:r>
        <w:rPr>
          <w:rFonts w:hint="eastAsia" w:asciiTheme="minorEastAsia" w:hAnsiTheme="minorEastAsia" w:cstheme="minorEastAsia"/>
          <w:sz w:val="32"/>
          <w:szCs w:val="32"/>
          <w:lang w:eastAsia="zh-CN"/>
        </w:rPr>
        <w:t>增减变动原因说明</w:t>
      </w:r>
    </w:p>
    <w:p>
      <w:pPr>
        <w:numPr>
          <w:ilvl w:val="0"/>
          <w:numId w:val="0"/>
        </w:numPr>
        <w:ind w:firstLine="1600" w:firstLineChars="500"/>
        <w:rPr>
          <w:rFonts w:asciiTheme="minorEastAsia" w:hAnsiTheme="minorEastAsia" w:cstheme="minorEastAsia"/>
          <w:sz w:val="32"/>
          <w:szCs w:val="32"/>
        </w:rPr>
      </w:pPr>
      <w:r>
        <w:rPr>
          <w:rFonts w:hint="eastAsia" w:asciiTheme="minorEastAsia" w:hAnsiTheme="minorEastAsia" w:cstheme="minorEastAsia"/>
          <w:sz w:val="32"/>
          <w:szCs w:val="32"/>
          <w:lang w:eastAsia="zh-CN"/>
        </w:rPr>
        <w:t>无</w:t>
      </w:r>
    </w:p>
    <w:p>
      <w:pPr>
        <w:pStyle w:val="2"/>
        <w:widowControl/>
        <w:numPr>
          <w:ilvl w:val="0"/>
          <w:numId w:val="1"/>
        </w:numPr>
        <w:spacing w:beforeAutospacing="0" w:afterAutospacing="0"/>
        <w:ind w:left="0" w:leftChars="0" w:firstLine="640" w:firstLineChars="0"/>
        <w:rPr>
          <w:rFonts w:asciiTheme="minorEastAsia" w:hAnsiTheme="minorEastAsia" w:cstheme="minorEastAsia"/>
          <w:kern w:val="2"/>
          <w:sz w:val="32"/>
          <w:szCs w:val="32"/>
        </w:rPr>
      </w:pPr>
      <w:r>
        <w:rPr>
          <w:rFonts w:hint="eastAsia" w:asciiTheme="minorEastAsia" w:hAnsiTheme="minorEastAsia" w:cstheme="minorEastAsia"/>
          <w:kern w:val="2"/>
          <w:sz w:val="32"/>
          <w:szCs w:val="32"/>
          <w:lang w:val="en-US" w:eastAsia="zh-CN"/>
        </w:rPr>
        <w:t>机关运行经费增减</w:t>
      </w:r>
      <w:r>
        <w:rPr>
          <w:rFonts w:asciiTheme="minorEastAsia" w:hAnsiTheme="minorEastAsia" w:cstheme="minorEastAsia"/>
          <w:kern w:val="2"/>
          <w:sz w:val="32"/>
          <w:szCs w:val="32"/>
        </w:rPr>
        <w:t>变动情况说明</w:t>
      </w:r>
    </w:p>
    <w:p>
      <w:pPr>
        <w:pStyle w:val="2"/>
        <w:widowControl/>
        <w:numPr>
          <w:ilvl w:val="0"/>
          <w:numId w:val="0"/>
        </w:numPr>
        <w:spacing w:beforeAutospacing="0" w:afterAutospacing="0"/>
        <w:ind w:left="640" w:leftChars="0"/>
        <w:rPr>
          <w:rFonts w:hint="eastAsia" w:asciiTheme="minorEastAsia" w:hAnsiTheme="minorEastAsia" w:cstheme="minorEastAsia"/>
          <w:kern w:val="2"/>
          <w:sz w:val="32"/>
          <w:szCs w:val="32"/>
          <w:lang w:val="en-US" w:eastAsia="zh-CN"/>
        </w:rPr>
      </w:pPr>
      <w:r>
        <w:rPr>
          <w:rFonts w:hint="eastAsia" w:asciiTheme="minorEastAsia" w:hAnsiTheme="minorEastAsia" w:cstheme="minorEastAsia"/>
          <w:kern w:val="2"/>
          <w:sz w:val="32"/>
          <w:szCs w:val="32"/>
          <w:lang w:eastAsia="zh-CN"/>
        </w:rPr>
        <w:t>我单位</w:t>
      </w:r>
      <w:r>
        <w:rPr>
          <w:rFonts w:hint="eastAsia" w:asciiTheme="minorEastAsia" w:hAnsiTheme="minorEastAsia" w:cstheme="minorEastAsia"/>
          <w:kern w:val="2"/>
          <w:sz w:val="32"/>
          <w:szCs w:val="32"/>
          <w:lang w:val="en-US" w:eastAsia="zh-CN"/>
        </w:rPr>
        <w:t>2018年机关运行经费财政拨款预算2万元，比2017年预算减少3万元，原因为财政经费缩减。</w:t>
      </w:r>
    </w:p>
    <w:p>
      <w:pPr>
        <w:pStyle w:val="2"/>
        <w:widowControl/>
        <w:numPr>
          <w:ilvl w:val="0"/>
          <w:numId w:val="0"/>
        </w:numPr>
        <w:spacing w:beforeAutospacing="0" w:afterAutospacing="0"/>
        <w:ind w:left="640" w:leftChars="0"/>
        <w:rPr>
          <w:rFonts w:hint="eastAsia" w:asciiTheme="minorEastAsia" w:hAnsiTheme="minorEastAsia" w:cstheme="minorEastAsia"/>
          <w:kern w:val="2"/>
          <w:sz w:val="32"/>
          <w:szCs w:val="32"/>
          <w:lang w:val="en-US" w:eastAsia="zh-CN"/>
        </w:rPr>
      </w:pPr>
      <w:r>
        <w:rPr>
          <w:rFonts w:hint="eastAsia" w:asciiTheme="minorEastAsia" w:hAnsiTheme="minorEastAsia" w:cstheme="minorEastAsia"/>
          <w:kern w:val="2"/>
          <w:sz w:val="32"/>
          <w:szCs w:val="32"/>
          <w:lang w:val="en-US" w:eastAsia="zh-CN"/>
        </w:rPr>
        <w:t>4、其他说明</w:t>
      </w:r>
    </w:p>
    <w:p>
      <w:pPr>
        <w:pStyle w:val="2"/>
        <w:widowControl/>
        <w:spacing w:beforeAutospacing="0" w:afterAutospacing="0"/>
        <w:ind w:firstLine="640" w:firstLineChars="200"/>
        <w:rPr>
          <w:rFonts w:hint="eastAsia" w:asciiTheme="minorEastAsia" w:hAnsiTheme="minorEastAsia" w:cstheme="minorEastAsia"/>
          <w:kern w:val="2"/>
          <w:sz w:val="32"/>
          <w:szCs w:val="32"/>
          <w:lang w:eastAsia="zh-CN"/>
        </w:rPr>
      </w:pPr>
      <w:r>
        <w:rPr>
          <w:rFonts w:hint="eastAsia" w:asciiTheme="minorEastAsia" w:hAnsiTheme="minorEastAsia" w:cstheme="minorEastAsia"/>
          <w:kern w:val="2"/>
          <w:sz w:val="32"/>
          <w:szCs w:val="32"/>
          <w:lang w:eastAsia="zh-CN"/>
        </w:rPr>
        <w:t>（</w:t>
      </w:r>
      <w:r>
        <w:rPr>
          <w:rFonts w:hint="eastAsia" w:asciiTheme="minorEastAsia" w:hAnsiTheme="minorEastAsia" w:cstheme="minorEastAsia"/>
          <w:kern w:val="2"/>
          <w:sz w:val="32"/>
          <w:szCs w:val="32"/>
          <w:lang w:val="en-US" w:eastAsia="zh-CN"/>
        </w:rPr>
        <w:t>1</w:t>
      </w:r>
      <w:r>
        <w:rPr>
          <w:rFonts w:hint="eastAsia" w:asciiTheme="minorEastAsia" w:hAnsiTheme="minorEastAsia" w:cstheme="minorEastAsia"/>
          <w:kern w:val="2"/>
          <w:sz w:val="32"/>
          <w:szCs w:val="32"/>
          <w:lang w:eastAsia="zh-CN"/>
        </w:rPr>
        <w:t>）政府采购情况</w:t>
      </w:r>
    </w:p>
    <w:p>
      <w:pPr>
        <w:pStyle w:val="2"/>
        <w:widowControl/>
        <w:spacing w:beforeAutospacing="0" w:afterAutospacing="0"/>
        <w:ind w:firstLine="640" w:firstLineChars="200"/>
        <w:rPr>
          <w:rFonts w:hint="eastAsia" w:asciiTheme="minorEastAsia" w:hAnsiTheme="minorEastAsia" w:cstheme="minorEastAsia"/>
          <w:kern w:val="2"/>
          <w:sz w:val="32"/>
          <w:szCs w:val="32"/>
          <w:lang w:eastAsia="zh-CN"/>
        </w:rPr>
      </w:pPr>
      <w:r>
        <w:rPr>
          <w:rFonts w:hint="eastAsia" w:asciiTheme="minorEastAsia" w:hAnsiTheme="minorEastAsia" w:cstheme="minorEastAsia"/>
          <w:kern w:val="2"/>
          <w:sz w:val="32"/>
          <w:szCs w:val="32"/>
          <w:lang w:eastAsia="zh-CN"/>
        </w:rPr>
        <w:t>无</w:t>
      </w:r>
    </w:p>
    <w:p>
      <w:pPr>
        <w:pStyle w:val="2"/>
        <w:widowControl/>
        <w:numPr>
          <w:ilvl w:val="0"/>
          <w:numId w:val="2"/>
        </w:numPr>
        <w:spacing w:beforeAutospacing="0" w:afterAutospacing="0"/>
        <w:ind w:firstLine="640" w:firstLineChars="200"/>
        <w:rPr>
          <w:rFonts w:hint="eastAsia" w:asciiTheme="minorEastAsia" w:hAnsiTheme="minorEastAsia" w:cstheme="minorEastAsia"/>
          <w:kern w:val="2"/>
          <w:sz w:val="32"/>
          <w:szCs w:val="32"/>
          <w:lang w:eastAsia="zh-CN"/>
        </w:rPr>
      </w:pPr>
      <w:r>
        <w:rPr>
          <w:rFonts w:hint="eastAsia" w:asciiTheme="minorEastAsia" w:hAnsiTheme="minorEastAsia" w:cstheme="minorEastAsia"/>
          <w:kern w:val="2"/>
          <w:sz w:val="32"/>
          <w:szCs w:val="32"/>
          <w:lang w:eastAsia="zh-CN"/>
        </w:rPr>
        <w:t>政府购买服务指导性目录</w:t>
      </w:r>
    </w:p>
    <w:p>
      <w:pPr>
        <w:pStyle w:val="2"/>
        <w:widowControl/>
        <w:numPr>
          <w:ilvl w:val="0"/>
          <w:numId w:val="2"/>
        </w:numPr>
        <w:spacing w:beforeAutospacing="0" w:afterAutospacing="0"/>
        <w:ind w:firstLine="640" w:firstLineChars="200"/>
        <w:rPr>
          <w:rFonts w:hint="eastAsia" w:asciiTheme="minorEastAsia" w:hAnsiTheme="minorEastAsia" w:cstheme="minorEastAsia"/>
          <w:kern w:val="2"/>
          <w:sz w:val="32"/>
          <w:szCs w:val="32"/>
          <w:lang w:eastAsia="zh-CN"/>
        </w:rPr>
      </w:pPr>
      <w:r>
        <w:rPr>
          <w:rFonts w:hint="eastAsia" w:asciiTheme="minorEastAsia" w:hAnsiTheme="minorEastAsia" w:cstheme="minorEastAsia"/>
          <w:kern w:val="2"/>
          <w:sz w:val="32"/>
          <w:szCs w:val="32"/>
          <w:lang w:eastAsia="zh-CN"/>
        </w:rPr>
        <w:t>国有资产占有使用情况</w:t>
      </w:r>
    </w:p>
    <w:p>
      <w:pPr>
        <w:pStyle w:val="2"/>
        <w:widowControl/>
        <w:numPr>
          <w:ilvl w:val="0"/>
          <w:numId w:val="0"/>
        </w:numPr>
        <w:spacing w:beforeAutospacing="0" w:afterAutospacing="0"/>
        <w:ind w:firstLine="640"/>
        <w:rPr>
          <w:rFonts w:hint="eastAsia" w:asciiTheme="minorEastAsia" w:hAnsiTheme="minorEastAsia" w:cstheme="minorEastAsia"/>
          <w:kern w:val="2"/>
          <w:sz w:val="32"/>
          <w:szCs w:val="32"/>
          <w:lang w:val="en-US" w:eastAsia="zh-CN"/>
        </w:rPr>
      </w:pPr>
      <w:r>
        <w:rPr>
          <w:rFonts w:hint="eastAsia" w:asciiTheme="minorEastAsia" w:hAnsiTheme="minorEastAsia" w:cstheme="minorEastAsia"/>
          <w:kern w:val="2"/>
          <w:sz w:val="32"/>
          <w:szCs w:val="32"/>
          <w:lang w:val="en-US" w:eastAsia="zh-CN"/>
        </w:rPr>
        <w:t>车辆情况：无</w:t>
      </w:r>
    </w:p>
    <w:p>
      <w:pPr>
        <w:pStyle w:val="2"/>
        <w:widowControl/>
        <w:numPr>
          <w:ilvl w:val="0"/>
          <w:numId w:val="0"/>
        </w:numPr>
        <w:spacing w:beforeAutospacing="0" w:afterAutospacing="0"/>
        <w:ind w:firstLine="640"/>
        <w:rPr>
          <w:rFonts w:hint="eastAsia" w:asciiTheme="minorEastAsia" w:hAnsiTheme="minorEastAsia" w:cstheme="minorEastAsia"/>
          <w:kern w:val="2"/>
          <w:sz w:val="32"/>
          <w:szCs w:val="32"/>
          <w:lang w:val="en-US" w:eastAsia="zh-CN"/>
        </w:rPr>
      </w:pPr>
      <w:r>
        <w:rPr>
          <w:rFonts w:hint="eastAsia" w:asciiTheme="minorEastAsia" w:hAnsiTheme="minorEastAsia" w:cstheme="minorEastAsia"/>
          <w:kern w:val="2"/>
          <w:sz w:val="32"/>
          <w:szCs w:val="32"/>
          <w:lang w:val="en-US" w:eastAsia="zh-CN"/>
        </w:rPr>
        <w:t>房屋情况：</w:t>
      </w:r>
    </w:p>
    <w:p>
      <w:pPr>
        <w:pStyle w:val="2"/>
        <w:widowControl/>
        <w:numPr>
          <w:ilvl w:val="0"/>
          <w:numId w:val="0"/>
        </w:numPr>
        <w:spacing w:beforeAutospacing="0" w:afterAutospacing="0"/>
        <w:ind w:firstLine="640"/>
        <w:rPr>
          <w:rFonts w:hint="eastAsia" w:asciiTheme="minorEastAsia" w:hAnsiTheme="minorEastAsia" w:cstheme="minorEastAsia"/>
          <w:kern w:val="2"/>
          <w:sz w:val="32"/>
          <w:szCs w:val="32"/>
          <w:lang w:eastAsia="zh-CN"/>
        </w:rPr>
      </w:pPr>
      <w:r>
        <w:rPr>
          <w:rFonts w:hint="eastAsia" w:asciiTheme="minorEastAsia" w:hAnsiTheme="minorEastAsia" w:cstheme="minorEastAsia"/>
          <w:kern w:val="2"/>
          <w:sz w:val="32"/>
          <w:szCs w:val="32"/>
          <w:lang w:eastAsia="zh-CN"/>
        </w:rPr>
        <w:t>其他国有资产占有使用情况</w:t>
      </w:r>
    </w:p>
    <w:p>
      <w:pPr>
        <w:pStyle w:val="2"/>
        <w:widowControl/>
        <w:numPr>
          <w:ilvl w:val="0"/>
          <w:numId w:val="2"/>
        </w:numPr>
        <w:spacing w:beforeAutospacing="0" w:afterAutospacing="0"/>
        <w:ind w:left="0" w:leftChars="0" w:firstLine="640" w:firstLineChars="200"/>
        <w:rPr>
          <w:rFonts w:hint="eastAsia" w:asciiTheme="minorEastAsia" w:hAnsiTheme="minorEastAsia" w:cstheme="minorEastAsia"/>
          <w:kern w:val="2"/>
          <w:sz w:val="32"/>
          <w:szCs w:val="32"/>
          <w:lang w:eastAsia="zh-CN"/>
        </w:rPr>
      </w:pPr>
      <w:r>
        <w:rPr>
          <w:rFonts w:hint="eastAsia" w:asciiTheme="minorEastAsia" w:hAnsiTheme="minorEastAsia" w:cstheme="minorEastAsia"/>
          <w:kern w:val="2"/>
          <w:sz w:val="32"/>
          <w:szCs w:val="32"/>
          <w:lang w:eastAsia="zh-CN"/>
        </w:rPr>
        <w:t>绩效管理情况</w:t>
      </w:r>
    </w:p>
    <w:p>
      <w:pPr>
        <w:pStyle w:val="2"/>
        <w:widowControl/>
        <w:numPr>
          <w:ilvl w:val="0"/>
          <w:numId w:val="0"/>
        </w:numPr>
        <w:spacing w:beforeAutospacing="0" w:afterAutospacing="0"/>
        <w:ind w:leftChars="200" w:firstLine="1280" w:firstLineChars="400"/>
        <w:rPr>
          <w:rFonts w:hint="eastAsia" w:asciiTheme="minorEastAsia" w:hAnsiTheme="minorEastAsia" w:cstheme="minorEastAsia"/>
          <w:kern w:val="2"/>
          <w:sz w:val="32"/>
          <w:szCs w:val="32"/>
          <w:lang w:val="en-US" w:eastAsia="zh-CN"/>
        </w:rPr>
      </w:pPr>
      <w:r>
        <w:rPr>
          <w:rFonts w:hint="eastAsia" w:asciiTheme="minorEastAsia" w:hAnsiTheme="minorEastAsia" w:cstheme="minorEastAsia"/>
          <w:kern w:val="2"/>
          <w:sz w:val="32"/>
          <w:szCs w:val="32"/>
          <w:lang w:val="en-US" w:eastAsia="zh-CN"/>
        </w:rPr>
        <w:t>无</w:t>
      </w:r>
    </w:p>
    <w:p>
      <w:pPr>
        <w:pStyle w:val="2"/>
        <w:widowControl/>
        <w:numPr>
          <w:ilvl w:val="0"/>
          <w:numId w:val="0"/>
        </w:numPr>
        <w:spacing w:beforeAutospacing="0" w:afterAutospacing="0"/>
        <w:ind w:firstLine="640" w:firstLineChars="200"/>
        <w:rPr>
          <w:rFonts w:hint="eastAsia" w:asciiTheme="minorEastAsia" w:hAnsiTheme="minorEastAsia" w:cstheme="minorEastAsia"/>
          <w:kern w:val="2"/>
          <w:sz w:val="32"/>
          <w:szCs w:val="32"/>
          <w:lang w:val="en-US" w:eastAsia="zh-CN"/>
        </w:rPr>
      </w:pPr>
      <w:r>
        <w:rPr>
          <w:rFonts w:hint="eastAsia" w:asciiTheme="minorEastAsia" w:hAnsiTheme="minorEastAsia" w:cstheme="minorEastAsia"/>
          <w:kern w:val="2"/>
          <w:sz w:val="32"/>
          <w:szCs w:val="32"/>
          <w:lang w:val="en-US" w:eastAsia="zh-CN"/>
        </w:rPr>
        <w:t>（5）其他</w:t>
      </w:r>
      <w:bookmarkStart w:id="0" w:name="_GoBack"/>
      <w:bookmarkEnd w:id="0"/>
    </w:p>
    <w:p>
      <w:pPr>
        <w:widowControl/>
        <w:shd w:val="clear" w:color="auto" w:fill="FFFFFF"/>
        <w:spacing w:line="404" w:lineRule="atLeast"/>
        <w:jc w:val="center"/>
        <w:rPr>
          <w:rFonts w:hint="eastAsia" w:ascii="宋体" w:hAnsi="宋体" w:eastAsia="宋体" w:cs="宋体"/>
          <w:b/>
          <w:bCs/>
          <w:color w:val="222222"/>
          <w:kern w:val="0"/>
          <w:sz w:val="32"/>
          <w:szCs w:val="32"/>
        </w:rPr>
      </w:pPr>
    </w:p>
    <w:p>
      <w:pPr>
        <w:widowControl/>
        <w:shd w:val="clear" w:color="auto" w:fill="FFFFFF"/>
        <w:spacing w:line="404" w:lineRule="atLeast"/>
        <w:jc w:val="center"/>
        <w:rPr>
          <w:rFonts w:hint="eastAsia" w:ascii="宋体" w:hAnsi="宋体" w:eastAsia="宋体" w:cs="宋体"/>
          <w:color w:val="222222"/>
          <w:kern w:val="0"/>
          <w:sz w:val="32"/>
          <w:szCs w:val="32"/>
        </w:rPr>
      </w:pPr>
      <w:r>
        <w:rPr>
          <w:rFonts w:hint="eastAsia" w:ascii="宋体" w:hAnsi="宋体" w:eastAsia="宋体" w:cs="宋体"/>
          <w:b/>
          <w:bCs/>
          <w:color w:val="222222"/>
          <w:kern w:val="0"/>
          <w:sz w:val="32"/>
          <w:szCs w:val="32"/>
        </w:rPr>
        <w:t>第四部分   名词解释</w:t>
      </w:r>
    </w:p>
    <w:p>
      <w:pPr>
        <w:autoSpaceDE w:val="0"/>
        <w:autoSpaceDN w:val="0"/>
        <w:adjustRightInd w:val="0"/>
        <w:ind w:firstLine="680" w:firstLineChars="200"/>
        <w:rPr>
          <w:rFonts w:hint="eastAsia" w:ascii="宋体" w:hAnsi="宋体" w:eastAsia="宋体" w:cs="宋体"/>
          <w:color w:val="222222"/>
          <w:spacing w:val="10"/>
          <w:kern w:val="0"/>
          <w:sz w:val="32"/>
          <w:szCs w:val="32"/>
        </w:rPr>
      </w:pPr>
      <w:r>
        <w:rPr>
          <w:rFonts w:hint="eastAsia" w:ascii="宋体" w:hAnsi="宋体" w:eastAsia="宋体" w:cs="宋体"/>
          <w:color w:val="222222"/>
          <w:spacing w:val="10"/>
          <w:kern w:val="0"/>
          <w:sz w:val="32"/>
          <w:szCs w:val="32"/>
        </w:rPr>
        <w:t>（1）基本支出：指为保障机构正常运转、完成日常</w:t>
      </w:r>
    </w:p>
    <w:p>
      <w:pPr>
        <w:autoSpaceDE w:val="0"/>
        <w:autoSpaceDN w:val="0"/>
        <w:adjustRightInd w:val="0"/>
        <w:rPr>
          <w:rFonts w:hint="eastAsia" w:ascii="宋体" w:hAnsi="宋体" w:eastAsia="宋体" w:cs="宋体"/>
          <w:color w:val="222222"/>
          <w:spacing w:val="10"/>
          <w:kern w:val="0"/>
          <w:sz w:val="32"/>
          <w:szCs w:val="32"/>
        </w:rPr>
      </w:pPr>
      <w:r>
        <w:rPr>
          <w:rFonts w:hint="eastAsia" w:ascii="宋体" w:hAnsi="宋体" w:eastAsia="宋体" w:cs="宋体"/>
          <w:color w:val="222222"/>
          <w:spacing w:val="10"/>
          <w:kern w:val="0"/>
          <w:sz w:val="32"/>
          <w:szCs w:val="32"/>
        </w:rPr>
        <w:t>工作任务而发生的人员支出和公用支出。</w:t>
      </w:r>
    </w:p>
    <w:p>
      <w:pPr>
        <w:autoSpaceDE w:val="0"/>
        <w:autoSpaceDN w:val="0"/>
        <w:adjustRightInd w:val="0"/>
        <w:ind w:firstLine="680" w:firstLineChars="200"/>
        <w:rPr>
          <w:rFonts w:hint="eastAsia" w:ascii="宋体" w:hAnsi="宋体" w:eastAsia="宋体" w:cs="宋体"/>
          <w:color w:val="222222"/>
          <w:spacing w:val="10"/>
          <w:kern w:val="0"/>
          <w:sz w:val="32"/>
          <w:szCs w:val="32"/>
        </w:rPr>
      </w:pPr>
      <w:r>
        <w:rPr>
          <w:rFonts w:hint="eastAsia" w:ascii="宋体" w:hAnsi="宋体" w:eastAsia="宋体"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宋体" w:hAnsi="宋体" w:eastAsia="宋体" w:cs="宋体"/>
          <w:color w:val="222222"/>
          <w:spacing w:val="10"/>
          <w:kern w:val="0"/>
          <w:sz w:val="32"/>
          <w:szCs w:val="32"/>
        </w:rPr>
      </w:pPr>
      <w:r>
        <w:rPr>
          <w:rFonts w:hint="eastAsia" w:ascii="宋体" w:hAnsi="宋体" w:eastAsia="宋体"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宋体" w:hAnsi="宋体" w:eastAsia="宋体" w:cs="宋体"/>
          <w:color w:val="222222"/>
          <w:spacing w:val="10"/>
          <w:kern w:val="0"/>
          <w:sz w:val="32"/>
          <w:szCs w:val="32"/>
        </w:rPr>
      </w:pPr>
      <w:r>
        <w:rPr>
          <w:rFonts w:hint="eastAsia" w:ascii="宋体" w:hAnsi="宋体" w:eastAsia="宋体" w:cs="宋体"/>
          <w:color w:val="222222"/>
          <w:spacing w:val="10"/>
          <w:kern w:val="0"/>
          <w:sz w:val="32"/>
          <w:szCs w:val="32"/>
        </w:rPr>
        <w:t>（4）机关运行经费：指行政单位和参照公务员法管理的事业单位使用一般公共预算安排的基本支出中的日常公用经费支出。</w:t>
      </w:r>
    </w:p>
    <w:p>
      <w:pPr>
        <w:pStyle w:val="2"/>
        <w:widowControl/>
        <w:spacing w:beforeAutospacing="0" w:afterAutospacing="0"/>
        <w:rPr>
          <w:rFonts w:hint="eastAsia" w:ascii="宋体" w:hAnsi="宋体" w:eastAsia="宋体" w:cs="宋体"/>
          <w:kern w:val="2"/>
          <w:sz w:val="32"/>
          <w:szCs w:val="32"/>
        </w:rPr>
      </w:pPr>
    </w:p>
    <w:p>
      <w:pPr>
        <w:rPr>
          <w:rFonts w:hint="eastAsia" w:ascii="宋体" w:hAnsi="宋体" w:eastAsia="宋体" w:cs="宋体"/>
          <w:sz w:val="32"/>
          <w:szCs w:val="32"/>
        </w:rPr>
      </w:pPr>
    </w:p>
    <w:p>
      <w:pPr>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BBA33"/>
    <w:multiLevelType w:val="singleLevel"/>
    <w:tmpl w:val="3EBBBA33"/>
    <w:lvl w:ilvl="0" w:tentative="0">
      <w:start w:val="2"/>
      <w:numFmt w:val="decimal"/>
      <w:suff w:val="nothing"/>
      <w:lvlText w:val="（%1）"/>
      <w:lvlJc w:val="left"/>
    </w:lvl>
  </w:abstractNum>
  <w:abstractNum w:abstractNumId="1">
    <w:nsid w:val="58DB207B"/>
    <w:multiLevelType w:val="singleLevel"/>
    <w:tmpl w:val="58DB207B"/>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97D13"/>
    <w:rsid w:val="00B73FEE"/>
    <w:rsid w:val="00D97D13"/>
    <w:rsid w:val="02FD77CD"/>
    <w:rsid w:val="052614E0"/>
    <w:rsid w:val="0DB043C5"/>
    <w:rsid w:val="14B66A0B"/>
    <w:rsid w:val="2705051E"/>
    <w:rsid w:val="29BD0B88"/>
    <w:rsid w:val="35EE31D4"/>
    <w:rsid w:val="38B868C5"/>
    <w:rsid w:val="3FCA45DC"/>
    <w:rsid w:val="4B351AC1"/>
    <w:rsid w:val="4C843C24"/>
    <w:rsid w:val="56865B34"/>
    <w:rsid w:val="59A50125"/>
    <w:rsid w:val="608200C7"/>
    <w:rsid w:val="62DC7B97"/>
    <w:rsid w:val="6EBC49E0"/>
    <w:rsid w:val="70BA44A6"/>
    <w:rsid w:val="725109FA"/>
    <w:rsid w:val="782675A6"/>
    <w:rsid w:val="7A13441B"/>
    <w:rsid w:val="7AAD7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304</Words>
  <Characters>217</Characters>
  <Lines>1</Lines>
  <Paragraphs>1</Paragraphs>
  <TotalTime>1</TotalTime>
  <ScaleCrop>false</ScaleCrop>
  <LinksUpToDate>false</LinksUpToDate>
  <CharactersWithSpaces>520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DELL</cp:lastModifiedBy>
  <dcterms:modified xsi:type="dcterms:W3CDTF">2018-05-09T08:20:55Z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